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6F" w:rsidRDefault="002F286F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Pořadatelem je SD ČR Plzeň, pobočný spolek spolu s Diabetologickým centrem FN Plzeň</w:t>
      </w:r>
    </w:p>
    <w:p w:rsidR="002F286F" w:rsidRDefault="002F286F" w:rsidP="002F2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konání:</w:t>
      </w:r>
    </w:p>
    <w:p w:rsidR="002F286F" w:rsidRDefault="002F286F" w:rsidP="002F2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konání:</w:t>
      </w:r>
    </w:p>
    <w:p w:rsidR="002F286F" w:rsidRDefault="002F286F" w:rsidP="002F2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Pořadové</w:t>
      </w:r>
      <w:r w:rsidR="0013247F">
        <w:rPr>
          <w:rFonts w:ascii="Arial" w:hAnsi="Arial" w:cs="Arial"/>
          <w:sz w:val="24"/>
          <w:szCs w:val="24"/>
        </w:rPr>
        <w:t xml:space="preserve"> </w:t>
      </w:r>
      <w:r w:rsidR="009E2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číslo</w:t>
      </w:r>
      <w:r w:rsidR="00CA63D9">
        <w:rPr>
          <w:rFonts w:ascii="Arial" w:hAnsi="Arial" w:cs="Arial"/>
          <w:sz w:val="24"/>
          <w:szCs w:val="24"/>
        </w:rPr>
        <w:t xml:space="preserve"> </w:t>
      </w:r>
      <w:r w:rsidR="00F03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přihlášky</w:t>
      </w:r>
      <w:r w:rsidR="009E2985">
        <w:rPr>
          <w:rFonts w:ascii="Arial" w:hAnsi="Arial" w:cs="Arial"/>
          <w:sz w:val="24"/>
          <w:szCs w:val="24"/>
        </w:rPr>
        <w:t xml:space="preserve"> </w:t>
      </w:r>
      <w:r w:rsidR="00132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03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26330" w:type="dxa"/>
        <w:tblInd w:w="-459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4031"/>
        <w:gridCol w:w="4031"/>
        <w:gridCol w:w="4031"/>
        <w:gridCol w:w="4031"/>
        <w:gridCol w:w="4031"/>
        <w:gridCol w:w="2350"/>
      </w:tblGrid>
      <w:tr w:rsidR="002F286F" w:rsidTr="002F286F">
        <w:trPr>
          <w:trHeight w:val="70"/>
        </w:trPr>
        <w:tc>
          <w:tcPr>
            <w:tcW w:w="3825" w:type="dxa"/>
            <w:tcBorders>
              <w:top w:val="nil"/>
              <w:left w:val="nil"/>
              <w:bottom w:val="nil"/>
            </w:tcBorders>
          </w:tcPr>
          <w:p w:rsidR="002F286F" w:rsidRPr="002F286F" w:rsidRDefault="002F286F" w:rsidP="002F28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2F286F" w:rsidRDefault="002F286F" w:rsidP="002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nil"/>
              <w:bottom w:val="nil"/>
            </w:tcBorders>
          </w:tcPr>
          <w:p w:rsidR="002F286F" w:rsidRDefault="002F286F" w:rsidP="002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2F286F" w:rsidRDefault="002F286F" w:rsidP="002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2F286F" w:rsidRDefault="002F286F" w:rsidP="002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:rsidR="002F286F" w:rsidRDefault="002F286F" w:rsidP="002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0" w:type="dxa"/>
          </w:tcPr>
          <w:p w:rsidR="002F286F" w:rsidRDefault="002F286F" w:rsidP="002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termínu</w:t>
            </w:r>
          </w:p>
        </w:tc>
      </w:tr>
    </w:tbl>
    <w:p w:rsidR="000E1870" w:rsidRDefault="00125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10348" w:type="dxa"/>
        <w:tblInd w:w="-459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909"/>
        <w:gridCol w:w="1696"/>
        <w:gridCol w:w="2982"/>
      </w:tblGrid>
      <w:tr w:rsidR="000E1870" w:rsidTr="00F0368E">
        <w:trPr>
          <w:trHeight w:val="552"/>
        </w:trPr>
        <w:tc>
          <w:tcPr>
            <w:tcW w:w="2761" w:type="dxa"/>
            <w:tcBorders>
              <w:top w:val="nil"/>
              <w:left w:val="nil"/>
              <w:bottom w:val="single" w:sz="4" w:space="0" w:color="auto"/>
            </w:tcBorders>
          </w:tcPr>
          <w:p w:rsidR="000E1870" w:rsidRPr="0013247F" w:rsidRDefault="0012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Jméno</w:t>
            </w:r>
          </w:p>
          <w:p w:rsidR="00125D1A" w:rsidRPr="0013247F" w:rsidRDefault="0012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0E1870" w:rsidRPr="0013247F" w:rsidRDefault="000E1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0E1870" w:rsidRPr="0013247F" w:rsidRDefault="00122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2982" w:type="dxa"/>
          </w:tcPr>
          <w:p w:rsidR="000E1870" w:rsidRPr="0013247F" w:rsidRDefault="00F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Titul</w:t>
            </w:r>
          </w:p>
        </w:tc>
      </w:tr>
      <w:tr w:rsidR="00CA63D9" w:rsidTr="00F0368E">
        <w:trPr>
          <w:trHeight w:val="746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63D9" w:rsidRPr="0013247F" w:rsidRDefault="005F4924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909" w:type="dxa"/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2982" w:type="dxa"/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3D9" w:rsidTr="005F4924">
        <w:trPr>
          <w:trHeight w:val="55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 xml:space="preserve">Telefon                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696" w:type="dxa"/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982" w:type="dxa"/>
          </w:tcPr>
          <w:p w:rsidR="00CA63D9" w:rsidRPr="0013247F" w:rsidRDefault="00CA63D9" w:rsidP="00CA63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924" w:rsidTr="005F4924">
        <w:trPr>
          <w:trHeight w:val="70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Ošetřující diabetolog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Zdravotní pojišťovna</w:t>
            </w:r>
          </w:p>
        </w:tc>
        <w:tc>
          <w:tcPr>
            <w:tcW w:w="2982" w:type="dxa"/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924" w:rsidTr="005F4924">
        <w:trPr>
          <w:trHeight w:val="55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Nečlen SD ČR *</w:t>
            </w:r>
            <w:r w:rsidRPr="0013247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Člen SD ČR od *</w:t>
            </w:r>
            <w:r w:rsidRPr="0013247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82" w:type="dxa"/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924" w:rsidTr="00F0368E">
        <w:trPr>
          <w:trHeight w:val="55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Kontakt na příbuzné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924" w:rsidTr="005F4924">
        <w:trPr>
          <w:trHeight w:val="552"/>
        </w:trPr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Úrazové pojištění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mám *</w:t>
            </w:r>
            <w:r w:rsidRPr="0013247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13247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247F" w:rsidRPr="00132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247F">
              <w:rPr>
                <w:rFonts w:ascii="Arial" w:hAnsi="Arial" w:cs="Arial"/>
                <w:sz w:val="20"/>
                <w:szCs w:val="20"/>
              </w:rPr>
              <w:t xml:space="preserve">      nemám *</w:t>
            </w:r>
            <w:r w:rsidRPr="0013247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247F">
              <w:rPr>
                <w:rFonts w:ascii="Arial" w:hAnsi="Arial" w:cs="Arial"/>
                <w:sz w:val="20"/>
                <w:szCs w:val="20"/>
              </w:rPr>
              <w:t>Číslo pojistky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924" w:rsidTr="005F4924">
        <w:trPr>
          <w:trHeight w:val="552"/>
        </w:trPr>
        <w:tc>
          <w:tcPr>
            <w:tcW w:w="2761" w:type="dxa"/>
            <w:tcBorders>
              <w:top w:val="single" w:sz="4" w:space="0" w:color="auto"/>
              <w:left w:val="nil"/>
              <w:bottom w:val="nil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nil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nil"/>
            </w:tcBorders>
          </w:tcPr>
          <w:p w:rsidR="005F4924" w:rsidRPr="0013247F" w:rsidRDefault="005F4924" w:rsidP="005F4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1870" w:rsidRPr="009E2985" w:rsidRDefault="00122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 xml:space="preserve">Rekondiční a edukační pobyt se zdravotním programem pro diabetiky (dále jen REP) je součástí zdravotní péče o diabetika (nelze zaměňovat za rekreaci). </w:t>
      </w:r>
      <w:r w:rsidR="00125D1A" w:rsidRPr="009E2985">
        <w:rPr>
          <w:rFonts w:ascii="Arial" w:hAnsi="Arial" w:cs="Arial"/>
          <w:sz w:val="20"/>
          <w:szCs w:val="20"/>
        </w:rPr>
        <w:t>V místě pobytu je zajištěn lékařský dohled, ubytování, strava, pohybová aktivita</w:t>
      </w:r>
      <w:r w:rsidR="00F434DB" w:rsidRPr="009E2985">
        <w:rPr>
          <w:rFonts w:ascii="Arial" w:hAnsi="Arial" w:cs="Arial"/>
          <w:sz w:val="20"/>
          <w:szCs w:val="20"/>
        </w:rPr>
        <w:t xml:space="preserve"> dle propozic, které dostanete cca 30 dní před odjezdem </w:t>
      </w:r>
      <w:r w:rsidRPr="009E2985">
        <w:rPr>
          <w:rFonts w:ascii="Arial" w:hAnsi="Arial" w:cs="Arial"/>
          <w:sz w:val="20"/>
          <w:szCs w:val="20"/>
        </w:rPr>
        <w:t>Je dotován finančními prostředky ze státní dotace, proto je povinnost zúčastnit se všech plánovaných akcí v průběhu REP, dovolí – li to aktuální zdravotní stav účastníka.</w:t>
      </w:r>
      <w:r w:rsidR="00F434DB" w:rsidRPr="009E2985">
        <w:rPr>
          <w:rFonts w:ascii="Arial" w:hAnsi="Arial" w:cs="Arial"/>
          <w:sz w:val="20"/>
          <w:szCs w:val="20"/>
        </w:rPr>
        <w:t xml:space="preserve"> Cena pobytu bez dotace je……………………</w:t>
      </w:r>
      <w:r w:rsidR="00F77AB6">
        <w:rPr>
          <w:rFonts w:ascii="Arial" w:hAnsi="Arial" w:cs="Arial"/>
          <w:sz w:val="20"/>
          <w:szCs w:val="20"/>
        </w:rPr>
        <w:t>…….</w:t>
      </w:r>
      <w:r w:rsidR="00F434DB" w:rsidRPr="009E2985">
        <w:rPr>
          <w:rFonts w:ascii="Arial" w:hAnsi="Arial" w:cs="Arial"/>
          <w:sz w:val="20"/>
          <w:szCs w:val="20"/>
        </w:rPr>
        <w:t>Kč… s dotací cca…………………</w:t>
      </w:r>
      <w:r w:rsidR="00F77AB6">
        <w:rPr>
          <w:rFonts w:ascii="Arial" w:hAnsi="Arial" w:cs="Arial"/>
          <w:sz w:val="20"/>
          <w:szCs w:val="20"/>
        </w:rPr>
        <w:t xml:space="preserve">    </w:t>
      </w:r>
      <w:r w:rsidR="00F434DB" w:rsidRPr="009E2985">
        <w:rPr>
          <w:rFonts w:ascii="Arial" w:hAnsi="Arial" w:cs="Arial"/>
          <w:sz w:val="20"/>
          <w:szCs w:val="20"/>
        </w:rPr>
        <w:t xml:space="preserve">Kč </w:t>
      </w:r>
    </w:p>
    <w:p w:rsidR="00F434DB" w:rsidRPr="009E2985" w:rsidRDefault="00F43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>Z</w:t>
      </w:r>
      <w:r w:rsidR="0013247F">
        <w:rPr>
          <w:rFonts w:ascii="Arial" w:hAnsi="Arial" w:cs="Arial"/>
          <w:sz w:val="20"/>
          <w:szCs w:val="20"/>
        </w:rPr>
        <w:t xml:space="preserve">  </w:t>
      </w:r>
      <w:r w:rsidRPr="009E2985">
        <w:rPr>
          <w:rFonts w:ascii="Arial" w:hAnsi="Arial" w:cs="Arial"/>
          <w:sz w:val="20"/>
          <w:szCs w:val="20"/>
        </w:rPr>
        <w:t>důvodu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F0368E" w:rsidRPr="009E2985">
        <w:rPr>
          <w:rFonts w:ascii="Arial" w:hAnsi="Arial" w:cs="Arial"/>
          <w:sz w:val="20"/>
          <w:szCs w:val="20"/>
        </w:rPr>
        <w:t xml:space="preserve"> zajištění  </w:t>
      </w:r>
      <w:r w:rsidR="00F77AB6">
        <w:rPr>
          <w:rFonts w:ascii="Arial" w:hAnsi="Arial" w:cs="Arial"/>
          <w:sz w:val="20"/>
          <w:szCs w:val="20"/>
        </w:rPr>
        <w:t xml:space="preserve"> </w:t>
      </w:r>
      <w:r w:rsidR="00F0368E" w:rsidRPr="009E2985">
        <w:rPr>
          <w:rFonts w:ascii="Arial" w:hAnsi="Arial" w:cs="Arial"/>
          <w:sz w:val="20"/>
          <w:szCs w:val="20"/>
        </w:rPr>
        <w:t>dostatečného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F0368E" w:rsidRPr="009E2985">
        <w:rPr>
          <w:rFonts w:ascii="Arial" w:hAnsi="Arial" w:cs="Arial"/>
          <w:sz w:val="20"/>
          <w:szCs w:val="20"/>
        </w:rPr>
        <w:t xml:space="preserve"> počtu účastníků a organizačních záležitostí Vás žádáme o zaslání</w:t>
      </w:r>
      <w:r w:rsidR="00046C89" w:rsidRPr="009E2985">
        <w:rPr>
          <w:rFonts w:ascii="Arial" w:hAnsi="Arial" w:cs="Arial"/>
          <w:sz w:val="20"/>
          <w:szCs w:val="20"/>
        </w:rPr>
        <w:t xml:space="preserve"> </w:t>
      </w:r>
      <w:r w:rsidR="00F0368E" w:rsidRPr="009E2985">
        <w:rPr>
          <w:rFonts w:ascii="Arial" w:hAnsi="Arial" w:cs="Arial"/>
          <w:sz w:val="20"/>
          <w:szCs w:val="20"/>
        </w:rPr>
        <w:t>zálohového poplatku ve výši………………Kč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F0368E" w:rsidRPr="009E2985">
        <w:rPr>
          <w:rFonts w:ascii="Arial" w:hAnsi="Arial" w:cs="Arial"/>
          <w:sz w:val="20"/>
          <w:szCs w:val="20"/>
        </w:rPr>
        <w:t>do jednoho týdne od podepsání této závazné přihlášk</w:t>
      </w:r>
      <w:r w:rsidR="00046C89" w:rsidRPr="009E2985">
        <w:rPr>
          <w:rFonts w:ascii="Arial" w:hAnsi="Arial" w:cs="Arial"/>
          <w:sz w:val="20"/>
          <w:szCs w:val="20"/>
        </w:rPr>
        <w:t xml:space="preserve">y </w:t>
      </w:r>
      <w:r w:rsidR="00F0368E" w:rsidRPr="009E2985">
        <w:rPr>
          <w:rFonts w:ascii="Arial" w:hAnsi="Arial" w:cs="Arial"/>
          <w:sz w:val="20"/>
          <w:szCs w:val="20"/>
        </w:rPr>
        <w:t>na náš účet</w:t>
      </w:r>
      <w:r w:rsidR="00E205AF" w:rsidRPr="009E2985">
        <w:rPr>
          <w:rFonts w:ascii="Arial" w:hAnsi="Arial" w:cs="Arial"/>
          <w:sz w:val="20"/>
          <w:szCs w:val="20"/>
        </w:rPr>
        <w:t xml:space="preserve">   </w:t>
      </w:r>
      <w:r w:rsidR="00E205AF" w:rsidRPr="009E2985">
        <w:rPr>
          <w:rFonts w:ascii="Arial" w:hAnsi="Arial" w:cs="Arial"/>
          <w:b/>
          <w:sz w:val="20"/>
          <w:szCs w:val="20"/>
        </w:rPr>
        <w:t>263163792/0300 . Jako variabilní symbol uveďte pořadové číslo této přihlášky.</w:t>
      </w:r>
      <w:r w:rsidR="00046C89" w:rsidRPr="009E2985">
        <w:rPr>
          <w:rFonts w:ascii="Arial" w:hAnsi="Arial" w:cs="Arial"/>
          <w:b/>
          <w:sz w:val="20"/>
          <w:szCs w:val="20"/>
        </w:rPr>
        <w:t xml:space="preserve"> </w:t>
      </w:r>
      <w:r w:rsidR="00E205AF" w:rsidRPr="009E2985">
        <w:rPr>
          <w:rFonts w:ascii="Arial" w:hAnsi="Arial" w:cs="Arial"/>
          <w:sz w:val="20"/>
          <w:szCs w:val="20"/>
        </w:rPr>
        <w:t>Záloha Vám bude odečtena od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E205AF" w:rsidRPr="009E2985">
        <w:rPr>
          <w:rFonts w:ascii="Arial" w:hAnsi="Arial" w:cs="Arial"/>
          <w:sz w:val="20"/>
          <w:szCs w:val="20"/>
        </w:rPr>
        <w:t xml:space="preserve"> celkové </w:t>
      </w:r>
      <w:r w:rsidR="00F77AB6">
        <w:rPr>
          <w:rFonts w:ascii="Arial" w:hAnsi="Arial" w:cs="Arial"/>
          <w:sz w:val="20"/>
          <w:szCs w:val="20"/>
        </w:rPr>
        <w:t xml:space="preserve"> </w:t>
      </w:r>
      <w:r w:rsidR="00E205AF" w:rsidRPr="009E2985">
        <w:rPr>
          <w:rFonts w:ascii="Arial" w:hAnsi="Arial" w:cs="Arial"/>
          <w:sz w:val="20"/>
          <w:szCs w:val="20"/>
        </w:rPr>
        <w:t>cen</w:t>
      </w:r>
      <w:r w:rsidR="00766D90">
        <w:rPr>
          <w:rFonts w:ascii="Arial" w:hAnsi="Arial" w:cs="Arial"/>
          <w:sz w:val="20"/>
          <w:szCs w:val="20"/>
        </w:rPr>
        <w:t>y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E205AF" w:rsidRPr="009E2985">
        <w:rPr>
          <w:rFonts w:ascii="Arial" w:hAnsi="Arial" w:cs="Arial"/>
          <w:sz w:val="20"/>
          <w:szCs w:val="20"/>
        </w:rPr>
        <w:t xml:space="preserve"> pobytu..</w:t>
      </w:r>
    </w:p>
    <w:p w:rsidR="00046C89" w:rsidRPr="009E2985" w:rsidRDefault="00E205AF" w:rsidP="00D965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 xml:space="preserve">Konečný seznam </w:t>
      </w:r>
      <w:r w:rsidR="00FB7836" w:rsidRPr="009E2985">
        <w:rPr>
          <w:rFonts w:ascii="Arial" w:hAnsi="Arial" w:cs="Arial"/>
          <w:sz w:val="20"/>
          <w:szCs w:val="20"/>
        </w:rPr>
        <w:t>účastníků určí vedoucí lékař REP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FB7836" w:rsidRPr="009E2985">
        <w:rPr>
          <w:rFonts w:ascii="Arial" w:hAnsi="Arial" w:cs="Arial"/>
          <w:sz w:val="20"/>
          <w:szCs w:val="20"/>
        </w:rPr>
        <w:t>.V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FB7836" w:rsidRPr="009E2985">
        <w:rPr>
          <w:rFonts w:ascii="Arial" w:hAnsi="Arial" w:cs="Arial"/>
          <w:sz w:val="20"/>
          <w:szCs w:val="20"/>
        </w:rPr>
        <w:t xml:space="preserve"> případě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FB7836" w:rsidRPr="009E2985">
        <w:rPr>
          <w:rFonts w:ascii="Arial" w:hAnsi="Arial" w:cs="Arial"/>
          <w:sz w:val="20"/>
          <w:szCs w:val="20"/>
        </w:rPr>
        <w:t xml:space="preserve"> omluvy Vaší neúčasti na REP do jednoho měsíce před zahájením </w:t>
      </w:r>
      <w:r w:rsidR="002305DF">
        <w:rPr>
          <w:rFonts w:ascii="Arial" w:hAnsi="Arial" w:cs="Arial"/>
          <w:sz w:val="20"/>
          <w:szCs w:val="20"/>
        </w:rPr>
        <w:t>V</w:t>
      </w:r>
      <w:r w:rsidR="00FB7836" w:rsidRPr="009E2985">
        <w:rPr>
          <w:rFonts w:ascii="Arial" w:hAnsi="Arial" w:cs="Arial"/>
          <w:sz w:val="20"/>
          <w:szCs w:val="20"/>
        </w:rPr>
        <w:t>ám bude záloha</w:t>
      </w:r>
      <w:r w:rsidR="00046C89" w:rsidRPr="009E2985">
        <w:rPr>
          <w:rFonts w:ascii="Arial" w:hAnsi="Arial" w:cs="Arial"/>
          <w:sz w:val="20"/>
          <w:szCs w:val="20"/>
        </w:rPr>
        <w:t xml:space="preserve"> </w:t>
      </w:r>
      <w:r w:rsidR="00FB7836" w:rsidRPr="009E2985">
        <w:rPr>
          <w:rFonts w:ascii="Arial" w:hAnsi="Arial" w:cs="Arial"/>
          <w:sz w:val="20"/>
          <w:szCs w:val="20"/>
        </w:rPr>
        <w:t xml:space="preserve"> vrácena</w:t>
      </w:r>
      <w:r w:rsidR="00046C89" w:rsidRPr="009E2985">
        <w:rPr>
          <w:rFonts w:ascii="Arial" w:hAnsi="Arial" w:cs="Arial"/>
          <w:sz w:val="20"/>
          <w:szCs w:val="20"/>
        </w:rPr>
        <w:t xml:space="preserve"> ,v termínu neúčasti do 10 dnů před zahájením bude vrácená částka krácena</w:t>
      </w:r>
      <w:r w:rsidR="00F77AB6">
        <w:rPr>
          <w:rFonts w:ascii="Arial" w:hAnsi="Arial" w:cs="Arial"/>
          <w:sz w:val="20"/>
          <w:szCs w:val="20"/>
        </w:rPr>
        <w:t xml:space="preserve"> o 50% </w:t>
      </w:r>
      <w:r w:rsidR="00046C89" w:rsidRPr="009E2985">
        <w:rPr>
          <w:rFonts w:ascii="Arial" w:hAnsi="Arial" w:cs="Arial"/>
          <w:sz w:val="20"/>
          <w:szCs w:val="20"/>
        </w:rPr>
        <w:t xml:space="preserve">a v kratším termínu než 10 dnů před odjezdem je záloha </w:t>
      </w:r>
      <w:r w:rsidR="00F77AB6">
        <w:rPr>
          <w:rFonts w:ascii="Arial" w:hAnsi="Arial" w:cs="Arial"/>
          <w:sz w:val="20"/>
          <w:szCs w:val="20"/>
        </w:rPr>
        <w:t xml:space="preserve"> </w:t>
      </w:r>
      <w:r w:rsidR="00046C89" w:rsidRPr="009E2985">
        <w:rPr>
          <w:rFonts w:ascii="Arial" w:hAnsi="Arial" w:cs="Arial"/>
          <w:sz w:val="20"/>
          <w:szCs w:val="20"/>
        </w:rPr>
        <w:t>nevratná.  Výjimku  tvoří</w:t>
      </w:r>
      <w:r w:rsidR="002305DF">
        <w:rPr>
          <w:rFonts w:ascii="Arial" w:hAnsi="Arial" w:cs="Arial"/>
          <w:sz w:val="20"/>
          <w:szCs w:val="20"/>
        </w:rPr>
        <w:t xml:space="preserve"> </w:t>
      </w:r>
      <w:r w:rsidR="00F77AB6">
        <w:rPr>
          <w:rFonts w:ascii="Arial" w:hAnsi="Arial" w:cs="Arial"/>
          <w:sz w:val="20"/>
          <w:szCs w:val="20"/>
        </w:rPr>
        <w:t xml:space="preserve"> nemoc účastníka nebo vážn</w:t>
      </w:r>
      <w:r w:rsidR="00046C89" w:rsidRPr="009E2985">
        <w:rPr>
          <w:rFonts w:ascii="Arial" w:hAnsi="Arial" w:cs="Arial"/>
          <w:sz w:val="20"/>
          <w:szCs w:val="20"/>
        </w:rPr>
        <w:t xml:space="preserve"> rodinné důvody</w:t>
      </w:r>
      <w:r w:rsidR="005F4924" w:rsidRPr="009E2985">
        <w:rPr>
          <w:rFonts w:ascii="Arial" w:hAnsi="Arial" w:cs="Arial"/>
          <w:sz w:val="20"/>
          <w:szCs w:val="20"/>
        </w:rPr>
        <w:t xml:space="preserve"> ( obojí je nutné doložit ). </w:t>
      </w:r>
      <w:r w:rsidR="002305DF">
        <w:rPr>
          <w:rFonts w:ascii="Arial" w:hAnsi="Arial" w:cs="Arial"/>
          <w:sz w:val="20"/>
          <w:szCs w:val="20"/>
        </w:rPr>
        <w:t xml:space="preserve"> </w:t>
      </w:r>
      <w:r w:rsidR="005F4924" w:rsidRPr="009E2985">
        <w:rPr>
          <w:rFonts w:ascii="Arial" w:hAnsi="Arial" w:cs="Arial"/>
          <w:sz w:val="20"/>
          <w:szCs w:val="20"/>
        </w:rPr>
        <w:t>V</w:t>
      </w:r>
      <w:r w:rsidR="00F77AB6">
        <w:rPr>
          <w:rFonts w:ascii="Arial" w:hAnsi="Arial" w:cs="Arial"/>
          <w:sz w:val="20"/>
          <w:szCs w:val="20"/>
        </w:rPr>
        <w:t xml:space="preserve"> </w:t>
      </w:r>
      <w:r w:rsidR="005F4924" w:rsidRPr="009E2985">
        <w:rPr>
          <w:rFonts w:ascii="Arial" w:hAnsi="Arial" w:cs="Arial"/>
          <w:sz w:val="20"/>
          <w:szCs w:val="20"/>
        </w:rPr>
        <w:t>sporných případech rozhodne výbor</w:t>
      </w:r>
    </w:p>
    <w:p w:rsidR="000E1870" w:rsidRPr="009E2985" w:rsidRDefault="005F4924" w:rsidP="005F49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 xml:space="preserve">                                       </w:t>
      </w:r>
      <w:r w:rsidR="002305DF">
        <w:rPr>
          <w:rFonts w:ascii="Arial" w:hAnsi="Arial" w:cs="Arial"/>
          <w:sz w:val="20"/>
          <w:szCs w:val="20"/>
        </w:rPr>
        <w:t xml:space="preserve">                </w:t>
      </w:r>
      <w:r w:rsidRPr="009E2985">
        <w:rPr>
          <w:rFonts w:ascii="Arial" w:hAnsi="Arial" w:cs="Arial"/>
          <w:sz w:val="20"/>
          <w:szCs w:val="20"/>
        </w:rPr>
        <w:t xml:space="preserve">  </w:t>
      </w:r>
      <w:r w:rsidR="00122925" w:rsidRPr="009E2985">
        <w:rPr>
          <w:rFonts w:ascii="Arial" w:hAnsi="Arial" w:cs="Arial"/>
          <w:b/>
          <w:sz w:val="20"/>
          <w:szCs w:val="20"/>
        </w:rPr>
        <w:t>Místopřísežné prohlášení</w:t>
      </w:r>
    </w:p>
    <w:p w:rsidR="000E1870" w:rsidRPr="009E2985" w:rsidRDefault="005F4924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>Beru na vědomí, že v případě nedostatečného počtu účastníků může být REP zrušen a záloha bude vrácena.</w:t>
      </w:r>
      <w:r w:rsidR="0013247F">
        <w:rPr>
          <w:rFonts w:ascii="Arial" w:hAnsi="Arial" w:cs="Arial"/>
          <w:sz w:val="20"/>
          <w:szCs w:val="20"/>
        </w:rPr>
        <w:t xml:space="preserve"> </w:t>
      </w:r>
      <w:r w:rsidR="00122925" w:rsidRPr="009E2985">
        <w:rPr>
          <w:rFonts w:ascii="Arial" w:hAnsi="Arial" w:cs="Arial"/>
          <w:sz w:val="20"/>
          <w:szCs w:val="20"/>
        </w:rPr>
        <w:t>Prohlašuji, že jsem</w:t>
      </w:r>
      <w:r w:rsidR="002305DF">
        <w:rPr>
          <w:rFonts w:ascii="Arial" w:hAnsi="Arial" w:cs="Arial"/>
          <w:sz w:val="20"/>
          <w:szCs w:val="20"/>
        </w:rPr>
        <w:t xml:space="preserve"> </w:t>
      </w:r>
      <w:r w:rsidR="00122925" w:rsidRPr="009E2985">
        <w:rPr>
          <w:rFonts w:ascii="Arial" w:hAnsi="Arial" w:cs="Arial"/>
          <w:sz w:val="20"/>
          <w:szCs w:val="20"/>
        </w:rPr>
        <w:t xml:space="preserve"> se v letošním roce:</w:t>
      </w:r>
    </w:p>
    <w:p w:rsidR="000E1870" w:rsidRPr="009E2985" w:rsidRDefault="001229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>se žádnou organizací osob se zdravotním postižením nezúčastni</w:t>
      </w:r>
      <w:r w:rsidR="002305DF">
        <w:rPr>
          <w:rFonts w:ascii="Arial" w:hAnsi="Arial" w:cs="Arial"/>
          <w:sz w:val="20"/>
          <w:szCs w:val="20"/>
        </w:rPr>
        <w:t xml:space="preserve"> </w:t>
      </w:r>
      <w:r w:rsidRPr="009E2985">
        <w:rPr>
          <w:rFonts w:ascii="Arial" w:hAnsi="Arial" w:cs="Arial"/>
          <w:sz w:val="20"/>
          <w:szCs w:val="20"/>
        </w:rPr>
        <w:t>l</w:t>
      </w:r>
      <w:r w:rsidR="002305DF">
        <w:rPr>
          <w:rFonts w:ascii="Arial" w:hAnsi="Arial" w:cs="Arial"/>
          <w:sz w:val="20"/>
          <w:szCs w:val="20"/>
        </w:rPr>
        <w:t xml:space="preserve"> </w:t>
      </w:r>
      <w:r w:rsidRPr="009E2985">
        <w:rPr>
          <w:rFonts w:ascii="Arial" w:hAnsi="Arial" w:cs="Arial"/>
          <w:sz w:val="20"/>
          <w:szCs w:val="20"/>
        </w:rPr>
        <w:t>/a REP *</w:t>
      </w:r>
      <w:r w:rsidRPr="009E2985">
        <w:rPr>
          <w:rFonts w:ascii="Arial" w:hAnsi="Arial" w:cs="Arial"/>
          <w:sz w:val="20"/>
          <w:szCs w:val="20"/>
          <w:vertAlign w:val="superscript"/>
        </w:rPr>
        <w:t>)</w:t>
      </w:r>
      <w:r w:rsidRPr="009E2985">
        <w:rPr>
          <w:rFonts w:ascii="Arial" w:hAnsi="Arial" w:cs="Arial"/>
          <w:sz w:val="20"/>
          <w:szCs w:val="20"/>
        </w:rPr>
        <w:t>,</w:t>
      </w:r>
    </w:p>
    <w:p w:rsidR="000E1870" w:rsidRPr="009E2985" w:rsidRDefault="001229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>zúčastnil/a jsem se REP v trvání ……… dnů *</w:t>
      </w:r>
      <w:r w:rsidRPr="009E2985">
        <w:rPr>
          <w:rFonts w:ascii="Arial" w:hAnsi="Arial" w:cs="Arial"/>
          <w:sz w:val="20"/>
          <w:szCs w:val="20"/>
          <w:vertAlign w:val="superscript"/>
        </w:rPr>
        <w:t>)</w:t>
      </w:r>
      <w:r w:rsidRPr="009E2985">
        <w:rPr>
          <w:rFonts w:ascii="Arial" w:hAnsi="Arial" w:cs="Arial"/>
          <w:sz w:val="20"/>
          <w:szCs w:val="20"/>
        </w:rPr>
        <w:t>.</w:t>
      </w:r>
    </w:p>
    <w:p w:rsidR="009E2985" w:rsidRPr="009E2985" w:rsidRDefault="00046C89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2985">
        <w:rPr>
          <w:rFonts w:ascii="Arial" w:hAnsi="Arial" w:cs="Arial"/>
          <w:sz w:val="20"/>
          <w:szCs w:val="20"/>
        </w:rPr>
        <w:t>*</w:t>
      </w:r>
      <w:r w:rsidRPr="009E2985">
        <w:rPr>
          <w:rFonts w:ascii="Arial" w:hAnsi="Arial" w:cs="Arial"/>
          <w:sz w:val="20"/>
          <w:szCs w:val="20"/>
          <w:vertAlign w:val="superscript"/>
        </w:rPr>
        <w:t>)</w:t>
      </w:r>
      <w:r w:rsidRPr="009E2985">
        <w:rPr>
          <w:rFonts w:ascii="Arial" w:hAnsi="Arial" w:cs="Arial"/>
          <w:sz w:val="20"/>
          <w:szCs w:val="20"/>
        </w:rPr>
        <w:t xml:space="preserve"> Nehodící se škrtněte.</w:t>
      </w:r>
    </w:p>
    <w:p w:rsidR="009E2985" w:rsidRPr="0013247F" w:rsidRDefault="009E2985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247F">
        <w:rPr>
          <w:rFonts w:ascii="Arial" w:hAnsi="Arial" w:cs="Arial"/>
          <w:sz w:val="20"/>
          <w:szCs w:val="20"/>
        </w:rPr>
        <w:t>V souvislosti s úpravami legislativy</w:t>
      </w:r>
      <w:r w:rsidR="0013247F" w:rsidRPr="0013247F">
        <w:rPr>
          <w:rFonts w:ascii="Arial" w:hAnsi="Arial" w:cs="Arial"/>
          <w:sz w:val="20"/>
          <w:szCs w:val="20"/>
        </w:rPr>
        <w:t xml:space="preserve"> </w:t>
      </w:r>
      <w:r w:rsidRPr="0013247F">
        <w:rPr>
          <w:rFonts w:ascii="Arial" w:hAnsi="Arial" w:cs="Arial"/>
          <w:sz w:val="20"/>
          <w:szCs w:val="20"/>
        </w:rPr>
        <w:t xml:space="preserve"> ( Obecné nařízení č.2016/679 o ochraně osobních údajů </w:t>
      </w:r>
      <w:r w:rsidR="0013247F" w:rsidRPr="0013247F">
        <w:rPr>
          <w:rFonts w:ascii="Arial" w:hAnsi="Arial" w:cs="Arial"/>
          <w:sz w:val="20"/>
          <w:szCs w:val="20"/>
        </w:rPr>
        <w:t xml:space="preserve"> (</w:t>
      </w:r>
      <w:r w:rsidRPr="0013247F">
        <w:rPr>
          <w:rFonts w:ascii="Arial" w:hAnsi="Arial" w:cs="Arial"/>
          <w:sz w:val="20"/>
          <w:szCs w:val="20"/>
        </w:rPr>
        <w:t>GDPR</w:t>
      </w:r>
      <w:r w:rsidR="0013247F" w:rsidRPr="0013247F">
        <w:rPr>
          <w:rFonts w:ascii="Arial" w:hAnsi="Arial" w:cs="Arial"/>
          <w:sz w:val="20"/>
          <w:szCs w:val="20"/>
        </w:rPr>
        <w:t xml:space="preserve">) připomínáme, že při používání našich služeb s námi sdílíte informace </w:t>
      </w:r>
      <w:r w:rsidR="002305DF">
        <w:rPr>
          <w:rFonts w:ascii="Arial" w:hAnsi="Arial" w:cs="Arial"/>
          <w:sz w:val="20"/>
          <w:szCs w:val="20"/>
        </w:rPr>
        <w:t>osobního charakteru ( jméno, přijmení</w:t>
      </w:r>
      <w:r w:rsidR="0013247F" w:rsidRPr="0013247F">
        <w:rPr>
          <w:rFonts w:ascii="Arial" w:hAnsi="Arial" w:cs="Arial"/>
          <w:sz w:val="20"/>
          <w:szCs w:val="20"/>
        </w:rPr>
        <w:t>, bydliště, věk, pohlaví</w:t>
      </w:r>
      <w:r w:rsidR="002305DF">
        <w:rPr>
          <w:rFonts w:ascii="Arial" w:hAnsi="Arial" w:cs="Arial"/>
          <w:sz w:val="20"/>
          <w:szCs w:val="20"/>
        </w:rPr>
        <w:t>,</w:t>
      </w:r>
      <w:r w:rsidR="0013247F" w:rsidRPr="0013247F">
        <w:rPr>
          <w:rFonts w:ascii="Arial" w:hAnsi="Arial" w:cs="Arial"/>
          <w:sz w:val="20"/>
          <w:szCs w:val="20"/>
        </w:rPr>
        <w:t xml:space="preserve"> fotografie z akcí pořádaných svazem ).</w:t>
      </w:r>
      <w:r w:rsidR="002305DF">
        <w:rPr>
          <w:rFonts w:ascii="Arial" w:hAnsi="Arial" w:cs="Arial"/>
          <w:sz w:val="20"/>
          <w:szCs w:val="20"/>
        </w:rPr>
        <w:t xml:space="preserve"> </w:t>
      </w:r>
      <w:r w:rsidR="0013247F" w:rsidRPr="0013247F">
        <w:rPr>
          <w:rFonts w:ascii="Arial" w:hAnsi="Arial" w:cs="Arial"/>
          <w:sz w:val="20"/>
          <w:szCs w:val="20"/>
        </w:rPr>
        <w:t xml:space="preserve"> Svým  podpisem stvrzujete souhlas , </w:t>
      </w:r>
      <w:r w:rsidR="002305DF">
        <w:rPr>
          <w:rFonts w:ascii="Arial" w:hAnsi="Arial" w:cs="Arial"/>
          <w:sz w:val="20"/>
          <w:szCs w:val="20"/>
        </w:rPr>
        <w:t>s používáním těchto údajů nutných k zajištění dotací,  zvaní na akce a další naše služby pro Vás. ,</w:t>
      </w:r>
      <w:r w:rsidR="0013247F" w:rsidRPr="0013247F">
        <w:rPr>
          <w:rFonts w:ascii="Arial" w:hAnsi="Arial" w:cs="Arial"/>
          <w:sz w:val="20"/>
          <w:szCs w:val="20"/>
        </w:rPr>
        <w:t>který však můžete kdykoli odvolat.</w:t>
      </w:r>
    </w:p>
    <w:p w:rsidR="0013247F" w:rsidRDefault="002305DF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2305DF" w:rsidRPr="002305DF" w:rsidRDefault="002305DF" w:rsidP="0023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05DF">
        <w:rPr>
          <w:rFonts w:ascii="Arial" w:hAnsi="Arial" w:cs="Arial"/>
          <w:sz w:val="20"/>
          <w:szCs w:val="20"/>
        </w:rPr>
        <w:t>V ………………………….   dne ………………………</w:t>
      </w:r>
    </w:p>
    <w:p w:rsidR="002305DF" w:rsidRDefault="002305DF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05DF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………………………………………</w:t>
      </w:r>
    </w:p>
    <w:p w:rsidR="002305DF" w:rsidRPr="002305DF" w:rsidRDefault="002305DF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p</w:t>
      </w:r>
      <w:r w:rsidRPr="002305DF">
        <w:rPr>
          <w:rFonts w:ascii="Arial" w:hAnsi="Arial" w:cs="Arial"/>
          <w:sz w:val="20"/>
          <w:szCs w:val="20"/>
        </w:rPr>
        <w:t>odpis zájemce</w:t>
      </w:r>
    </w:p>
    <w:p w:rsidR="002305DF" w:rsidRDefault="002305DF" w:rsidP="009E2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5DF" w:rsidRDefault="002305DF" w:rsidP="002305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305DF" w:rsidRDefault="002305DF" w:rsidP="002305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sectPr w:rsidR="002305D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70" w:rsidRDefault="00122925">
      <w:pPr>
        <w:spacing w:after="0" w:line="240" w:lineRule="auto"/>
      </w:pPr>
      <w:r>
        <w:separator/>
      </w:r>
    </w:p>
  </w:endnote>
  <w:endnote w:type="continuationSeparator" w:id="0">
    <w:p w:rsidR="000E1870" w:rsidRDefault="0012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70" w:rsidRDefault="00122925">
      <w:pPr>
        <w:spacing w:after="0" w:line="240" w:lineRule="auto"/>
      </w:pPr>
      <w:r>
        <w:separator/>
      </w:r>
    </w:p>
  </w:footnote>
  <w:footnote w:type="continuationSeparator" w:id="0">
    <w:p w:rsidR="000E1870" w:rsidRDefault="0012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BB4"/>
    <w:multiLevelType w:val="hybridMultilevel"/>
    <w:tmpl w:val="DC9CDE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405EA"/>
    <w:multiLevelType w:val="hybridMultilevel"/>
    <w:tmpl w:val="597C7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D1A"/>
    <w:rsid w:val="00046C89"/>
    <w:rsid w:val="000E1870"/>
    <w:rsid w:val="00122925"/>
    <w:rsid w:val="00125D1A"/>
    <w:rsid w:val="0013247F"/>
    <w:rsid w:val="002305DF"/>
    <w:rsid w:val="002F286F"/>
    <w:rsid w:val="00327921"/>
    <w:rsid w:val="005F4924"/>
    <w:rsid w:val="00766D90"/>
    <w:rsid w:val="009E2985"/>
    <w:rsid w:val="00CA63D9"/>
    <w:rsid w:val="00D96546"/>
    <w:rsid w:val="00E205AF"/>
    <w:rsid w:val="00F0368E"/>
    <w:rsid w:val="00F434DB"/>
    <w:rsid w:val="00F77AB6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2382DC2-8E28-4F7A-86FC-EF13540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sz w:val="22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39"/>
    <w:rsid w:val="00F0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Horák</dc:creator>
  <cp:keywords/>
  <cp:lastModifiedBy>Hana Boulova</cp:lastModifiedBy>
  <cp:revision>2</cp:revision>
  <cp:lastPrinted>2018-03-21T17:07:00Z</cp:lastPrinted>
  <dcterms:created xsi:type="dcterms:W3CDTF">2018-03-25T09:08:00Z</dcterms:created>
  <dcterms:modified xsi:type="dcterms:W3CDTF">2018-03-25T09:08:00Z</dcterms:modified>
</cp:coreProperties>
</file>